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7C697" w14:textId="77777777" w:rsidR="002D100C" w:rsidRPr="00C62F04" w:rsidRDefault="002D100C" w:rsidP="00C62F04">
      <w:pPr>
        <w:pStyle w:val="Title"/>
        <w:rPr>
          <w:color w:val="0F4761" w:themeColor="accent1" w:themeShade="BF"/>
          <w:spacing w:val="0"/>
          <w:kern w:val="0"/>
          <w:sz w:val="32"/>
          <w:szCs w:val="32"/>
        </w:rPr>
      </w:pPr>
      <w:r w:rsidRPr="00C62F04">
        <w:rPr>
          <w:b/>
          <w:bCs/>
        </w:rPr>
        <w:t>Data Privacy &amp; Confidentiality: A tip sheet</w:t>
      </w:r>
      <w:r w:rsidRPr="00C62F04">
        <w:rPr>
          <w:color w:val="0F4761" w:themeColor="accent1" w:themeShade="BF"/>
          <w:spacing w:val="0"/>
          <w:kern w:val="0"/>
          <w:sz w:val="32"/>
          <w:szCs w:val="32"/>
        </w:rPr>
        <w:t xml:space="preserve"> </w:t>
      </w:r>
    </w:p>
    <w:p w14:paraId="6E6A5476" w14:textId="77777777" w:rsidR="002D100C" w:rsidRPr="00BB306D" w:rsidRDefault="002D100C" w:rsidP="00C62F04">
      <w:pPr>
        <w:pStyle w:val="Heading1"/>
      </w:pPr>
      <w:r w:rsidRPr="00BB306D">
        <w:t>Protecting respondent privacy</w:t>
      </w:r>
    </w:p>
    <w:p w14:paraId="00372942" w14:textId="77777777" w:rsidR="002D100C" w:rsidRPr="00BB306D" w:rsidRDefault="002D100C" w:rsidP="002D100C">
      <w:pPr>
        <w:spacing w:after="120"/>
        <w:ind w:right="-278"/>
        <w:rPr>
          <w:rFonts w:asciiTheme="majorHAnsi" w:hAnsiTheme="majorHAnsi" w:cstheme="majorHAnsi"/>
        </w:rPr>
      </w:pPr>
      <w:r w:rsidRPr="00BB306D">
        <w:rPr>
          <w:rFonts w:asciiTheme="majorHAnsi" w:hAnsiTheme="majorHAnsi" w:cstheme="majorHAnsi"/>
        </w:rPr>
        <w:t>You can protect the privacy and confidentiality of survey respondents by:</w:t>
      </w:r>
    </w:p>
    <w:p w14:paraId="5F367C27" w14:textId="77777777" w:rsidR="002D100C" w:rsidRPr="00BB306D" w:rsidRDefault="002D100C" w:rsidP="002D100C">
      <w:pPr>
        <w:pStyle w:val="ListParagraph"/>
        <w:numPr>
          <w:ilvl w:val="0"/>
          <w:numId w:val="1"/>
        </w:numPr>
        <w:spacing w:before="60" w:after="60"/>
        <w:ind w:left="714" w:right="-278" w:hanging="357"/>
        <w:contextualSpacing w:val="0"/>
        <w:rPr>
          <w:rFonts w:asciiTheme="majorHAnsi" w:hAnsiTheme="majorHAnsi" w:cstheme="majorHAnsi"/>
        </w:rPr>
      </w:pPr>
      <w:r w:rsidRPr="00BB306D">
        <w:rPr>
          <w:rFonts w:asciiTheme="majorHAnsi" w:hAnsiTheme="majorHAnsi" w:cstheme="majorHAnsi"/>
        </w:rPr>
        <w:t>Collecting data via anonymous digital surveys</w:t>
      </w:r>
      <w:r w:rsidRPr="00BB306D">
        <w:rPr>
          <w:rFonts w:asciiTheme="majorHAnsi" w:hAnsiTheme="majorHAnsi" w:cstheme="majorHAnsi"/>
        </w:rPr>
        <w:br/>
        <w:t xml:space="preserve">Make sure anonymous collection is turned on for online platforms. Do not collect IP addresses. Store information </w:t>
      </w:r>
      <w:proofErr w:type="gramStart"/>
      <w:r w:rsidRPr="00BB306D">
        <w:rPr>
          <w:rFonts w:asciiTheme="majorHAnsi" w:hAnsiTheme="majorHAnsi" w:cstheme="majorHAnsi"/>
        </w:rPr>
        <w:t>entered into</w:t>
      </w:r>
      <w:proofErr w:type="gramEnd"/>
      <w:r w:rsidRPr="00BB306D">
        <w:rPr>
          <w:rFonts w:asciiTheme="majorHAnsi" w:hAnsiTheme="majorHAnsi" w:cstheme="majorHAnsi"/>
        </w:rPr>
        <w:t xml:space="preserve"> surveys in an encrypted database. </w:t>
      </w:r>
    </w:p>
    <w:p w14:paraId="4845C055" w14:textId="77777777" w:rsidR="002D100C" w:rsidRPr="00BB306D" w:rsidRDefault="002D100C" w:rsidP="002D100C">
      <w:pPr>
        <w:pStyle w:val="ListParagraph"/>
        <w:numPr>
          <w:ilvl w:val="0"/>
          <w:numId w:val="1"/>
        </w:numPr>
        <w:spacing w:before="60" w:after="60"/>
        <w:ind w:left="714" w:right="-278" w:hanging="357"/>
        <w:rPr>
          <w:rFonts w:asciiTheme="majorHAnsi" w:hAnsiTheme="majorHAnsi" w:cstheme="majorHAnsi"/>
        </w:rPr>
      </w:pPr>
      <w:r w:rsidRPr="00BB306D">
        <w:rPr>
          <w:rFonts w:asciiTheme="majorHAnsi" w:hAnsiTheme="majorHAnsi" w:cstheme="majorHAnsi"/>
        </w:rPr>
        <w:t>Showing survey results in interactive visual reports</w:t>
      </w:r>
      <w:r w:rsidRPr="00BB306D">
        <w:rPr>
          <w:rFonts w:asciiTheme="majorHAnsi" w:hAnsiTheme="majorHAnsi" w:cstheme="majorHAnsi"/>
        </w:rPr>
        <w:br/>
        <w:t xml:space="preserve">Create reports that combine responses from many people. Filters allow users to disaggregate results, but do not permit them to drill down to an individual response. </w:t>
      </w:r>
    </w:p>
    <w:p w14:paraId="36F04EC7" w14:textId="77777777" w:rsidR="002D100C" w:rsidRPr="00BB306D" w:rsidRDefault="002D100C" w:rsidP="002D100C">
      <w:pPr>
        <w:pStyle w:val="ListParagraph"/>
        <w:numPr>
          <w:ilvl w:val="0"/>
          <w:numId w:val="1"/>
        </w:numPr>
        <w:spacing w:before="120"/>
        <w:ind w:right="-418"/>
        <w:contextualSpacing w:val="0"/>
        <w:rPr>
          <w:rFonts w:asciiTheme="majorHAnsi" w:hAnsiTheme="majorHAnsi" w:cstheme="majorHAnsi"/>
        </w:rPr>
      </w:pPr>
      <w:r w:rsidRPr="00BB306D">
        <w:rPr>
          <w:rFonts w:asciiTheme="majorHAnsi" w:hAnsiTheme="majorHAnsi" w:cstheme="majorHAnsi"/>
        </w:rPr>
        <w:t>Limiting the number of people that can access the raw data</w:t>
      </w:r>
    </w:p>
    <w:p w14:paraId="3C0AF03A" w14:textId="77777777" w:rsidR="002D100C" w:rsidRPr="00BB306D" w:rsidRDefault="002D100C" w:rsidP="002D100C">
      <w:pPr>
        <w:spacing w:after="120"/>
        <w:ind w:left="720" w:right="-418"/>
        <w:rPr>
          <w:rFonts w:asciiTheme="majorHAnsi" w:hAnsiTheme="majorHAnsi" w:cstheme="majorHAnsi"/>
        </w:rPr>
      </w:pPr>
      <w:r w:rsidRPr="00BB306D">
        <w:rPr>
          <w:rFonts w:asciiTheme="majorHAnsi" w:hAnsiTheme="majorHAnsi" w:cstheme="majorHAnsi"/>
        </w:rPr>
        <w:t xml:space="preserve">Processing data, especially if the data includes demographic questions or text where names could be included, creates an opportunity for respondents to be identified. Restrict access to sensitive data to only those individuals who need it to do the analysis. </w:t>
      </w:r>
    </w:p>
    <w:p w14:paraId="0AAEA2F0" w14:textId="77777777" w:rsidR="002D100C" w:rsidRPr="00BB306D" w:rsidRDefault="002D100C" w:rsidP="002D100C">
      <w:pPr>
        <w:pStyle w:val="ListParagraph"/>
        <w:numPr>
          <w:ilvl w:val="0"/>
          <w:numId w:val="1"/>
        </w:numPr>
        <w:spacing w:before="120"/>
        <w:ind w:right="-278"/>
        <w:rPr>
          <w:rFonts w:asciiTheme="majorHAnsi" w:hAnsiTheme="majorHAnsi" w:cstheme="majorHAnsi"/>
        </w:rPr>
      </w:pPr>
      <w:r w:rsidRPr="00BB306D">
        <w:rPr>
          <w:rFonts w:asciiTheme="majorHAnsi" w:hAnsiTheme="majorHAnsi" w:cstheme="majorHAnsi"/>
        </w:rPr>
        <w:t xml:space="preserve">Maintaining data integrity </w:t>
      </w:r>
    </w:p>
    <w:p w14:paraId="68AD77B3" w14:textId="77777777" w:rsidR="002D100C" w:rsidRPr="00BB306D" w:rsidRDefault="002D100C" w:rsidP="002D100C">
      <w:pPr>
        <w:pStyle w:val="ListParagraph"/>
        <w:spacing w:after="60"/>
        <w:ind w:right="-278"/>
        <w:contextualSpacing w:val="0"/>
        <w:rPr>
          <w:rFonts w:asciiTheme="majorHAnsi" w:hAnsiTheme="majorHAnsi" w:cstheme="majorHAnsi"/>
        </w:rPr>
      </w:pPr>
      <w:r w:rsidRPr="00BB306D">
        <w:rPr>
          <w:rFonts w:asciiTheme="majorHAnsi" w:hAnsiTheme="majorHAnsi" w:cstheme="majorHAnsi"/>
        </w:rPr>
        <w:t>Don’t delete or modify survey responses. Protect data from being lost, stolen, or mixed up with other information by:</w:t>
      </w:r>
    </w:p>
    <w:p w14:paraId="61D5F5CD" w14:textId="77777777" w:rsidR="002D100C" w:rsidRPr="00BB306D" w:rsidRDefault="002D100C" w:rsidP="002D100C">
      <w:pPr>
        <w:pStyle w:val="ListParagraph"/>
        <w:numPr>
          <w:ilvl w:val="0"/>
          <w:numId w:val="2"/>
        </w:numPr>
        <w:spacing w:after="60"/>
        <w:ind w:left="1797" w:right="-278" w:hanging="357"/>
        <w:contextualSpacing w:val="0"/>
        <w:rPr>
          <w:rFonts w:asciiTheme="majorHAnsi" w:hAnsiTheme="majorHAnsi" w:cstheme="majorHAnsi"/>
        </w:rPr>
      </w:pPr>
      <w:r w:rsidRPr="00BB306D">
        <w:rPr>
          <w:rFonts w:asciiTheme="majorHAnsi" w:hAnsiTheme="majorHAnsi" w:cstheme="majorHAnsi"/>
        </w:rPr>
        <w:t>Keeping hard-copy data (i.e., paper surveys, data printouts) in a locked cabinet, accessible only to the staff or external analysts who need to process these data</w:t>
      </w:r>
    </w:p>
    <w:p w14:paraId="6843A943" w14:textId="77777777" w:rsidR="002D100C" w:rsidRPr="00BB306D" w:rsidRDefault="002D100C" w:rsidP="002D100C">
      <w:pPr>
        <w:pStyle w:val="ListParagraph"/>
        <w:numPr>
          <w:ilvl w:val="0"/>
          <w:numId w:val="2"/>
        </w:numPr>
        <w:ind w:right="-278"/>
        <w:rPr>
          <w:rFonts w:asciiTheme="majorHAnsi" w:hAnsiTheme="majorHAnsi" w:cstheme="majorHAnsi"/>
        </w:rPr>
      </w:pPr>
      <w:r w:rsidRPr="00BB306D">
        <w:rPr>
          <w:rFonts w:asciiTheme="majorHAnsi" w:hAnsiTheme="majorHAnsi" w:cstheme="majorHAnsi"/>
        </w:rPr>
        <w:t>Ensuring that electronic data is stored in a secure digital location, protected by a strong password, and accessible only to:</w:t>
      </w:r>
    </w:p>
    <w:p w14:paraId="06C16FD8" w14:textId="77777777" w:rsidR="002D100C" w:rsidRPr="00BB306D" w:rsidRDefault="002D100C" w:rsidP="002D100C">
      <w:pPr>
        <w:pStyle w:val="ListParagraph"/>
        <w:numPr>
          <w:ilvl w:val="1"/>
          <w:numId w:val="2"/>
        </w:numPr>
        <w:ind w:right="-278"/>
        <w:rPr>
          <w:rFonts w:asciiTheme="majorHAnsi" w:hAnsiTheme="majorHAnsi" w:cstheme="majorHAnsi"/>
        </w:rPr>
      </w:pPr>
      <w:r w:rsidRPr="00BB306D">
        <w:rPr>
          <w:rFonts w:asciiTheme="majorHAnsi" w:hAnsiTheme="majorHAnsi" w:cstheme="majorHAnsi"/>
        </w:rPr>
        <w:t xml:space="preserve">Staff or external analysts who need to process the data </w:t>
      </w:r>
    </w:p>
    <w:p w14:paraId="45EC78A7" w14:textId="77777777" w:rsidR="002D100C" w:rsidRPr="00BB306D" w:rsidRDefault="002D100C" w:rsidP="002D100C">
      <w:pPr>
        <w:pStyle w:val="ListParagraph"/>
        <w:numPr>
          <w:ilvl w:val="1"/>
          <w:numId w:val="2"/>
        </w:numPr>
        <w:ind w:right="-278"/>
        <w:rPr>
          <w:rFonts w:asciiTheme="majorHAnsi" w:hAnsiTheme="majorHAnsi" w:cstheme="majorHAnsi"/>
        </w:rPr>
      </w:pPr>
      <w:r w:rsidRPr="00BB306D">
        <w:rPr>
          <w:rFonts w:asciiTheme="majorHAnsi" w:hAnsiTheme="majorHAnsi" w:cstheme="majorHAnsi"/>
        </w:rPr>
        <w:t xml:space="preserve">People who are responsible for maintaining IT systems </w:t>
      </w:r>
    </w:p>
    <w:p w14:paraId="1BDD6793" w14:textId="77777777" w:rsidR="002D100C" w:rsidRPr="00BB306D" w:rsidRDefault="002D100C" w:rsidP="002D100C">
      <w:pPr>
        <w:pStyle w:val="ListParagraph"/>
        <w:numPr>
          <w:ilvl w:val="0"/>
          <w:numId w:val="1"/>
        </w:numPr>
        <w:spacing w:before="120" w:after="120"/>
        <w:ind w:right="-278"/>
        <w:contextualSpacing w:val="0"/>
        <w:rPr>
          <w:rFonts w:asciiTheme="majorHAnsi" w:hAnsiTheme="majorHAnsi" w:cstheme="majorHAnsi"/>
        </w:rPr>
      </w:pPr>
      <w:r w:rsidRPr="00BB306D">
        <w:rPr>
          <w:rFonts w:asciiTheme="majorHAnsi" w:hAnsiTheme="majorHAnsi" w:cstheme="majorHAnsi"/>
        </w:rPr>
        <w:t>Maintaining respondent confidentiality</w:t>
      </w:r>
      <w:r w:rsidRPr="00BB306D">
        <w:rPr>
          <w:rFonts w:asciiTheme="majorHAnsi" w:hAnsiTheme="majorHAnsi" w:cstheme="majorHAnsi"/>
        </w:rPr>
        <w:br/>
        <w:t xml:space="preserve">Ensure that staff members and any external analysts are aware of their ethical obligation to keep survey responses confidential. Ask all persons with access to survey responses to confirm, in writing, their commitment to maintaining respondent confidentiality. This might mean introducing a code of </w:t>
      </w:r>
      <w:proofErr w:type="gramStart"/>
      <w:r w:rsidRPr="00BB306D">
        <w:rPr>
          <w:rFonts w:asciiTheme="majorHAnsi" w:hAnsiTheme="majorHAnsi" w:cstheme="majorHAnsi"/>
        </w:rPr>
        <w:t>conduct, or</w:t>
      </w:r>
      <w:proofErr w:type="gramEnd"/>
      <w:r w:rsidRPr="00BB306D">
        <w:rPr>
          <w:rFonts w:asciiTheme="majorHAnsi" w:hAnsiTheme="majorHAnsi" w:cstheme="majorHAnsi"/>
        </w:rPr>
        <w:t xml:space="preserve"> modifying an existing contract to note that survey data must remain confidential. When possible, remove or obscure personal identifiers in the data to maintain confidentiality.</w:t>
      </w:r>
    </w:p>
    <w:p w14:paraId="17DB4221" w14:textId="77777777" w:rsidR="002D100C" w:rsidRPr="00BB306D" w:rsidRDefault="002D100C" w:rsidP="002D100C">
      <w:pPr>
        <w:pStyle w:val="ListParagraph"/>
        <w:numPr>
          <w:ilvl w:val="0"/>
          <w:numId w:val="1"/>
        </w:numPr>
        <w:spacing w:after="120"/>
        <w:ind w:right="-278"/>
        <w:contextualSpacing w:val="0"/>
        <w:rPr>
          <w:rFonts w:asciiTheme="majorHAnsi" w:hAnsiTheme="majorHAnsi" w:cstheme="majorHAnsi"/>
        </w:rPr>
      </w:pPr>
      <w:r w:rsidRPr="00BB306D">
        <w:rPr>
          <w:rFonts w:asciiTheme="majorHAnsi" w:hAnsiTheme="majorHAnsi" w:cstheme="majorHAnsi"/>
        </w:rPr>
        <w:t>Responding to data breaches</w:t>
      </w:r>
      <w:r w:rsidRPr="00BB306D">
        <w:rPr>
          <w:rFonts w:asciiTheme="majorHAnsi" w:hAnsiTheme="majorHAnsi" w:cstheme="majorHAnsi"/>
        </w:rPr>
        <w:br/>
        <w:t>Have a clear plan in place for responding to data breaches. This should include notifying affected parties, assessing the extent of the breach, taking steps to contain it, and implementing measures to prevent future incidents.</w:t>
      </w:r>
    </w:p>
    <w:p w14:paraId="5184A9A7" w14:textId="77777777" w:rsidR="002D100C" w:rsidRPr="00BB306D" w:rsidRDefault="002D100C" w:rsidP="002D100C">
      <w:pPr>
        <w:pStyle w:val="ListParagraph"/>
        <w:numPr>
          <w:ilvl w:val="0"/>
          <w:numId w:val="1"/>
        </w:numPr>
        <w:spacing w:before="120" w:after="120"/>
        <w:ind w:right="-278"/>
        <w:rPr>
          <w:rFonts w:asciiTheme="majorHAnsi" w:hAnsiTheme="majorHAnsi" w:cstheme="majorHAnsi"/>
        </w:rPr>
      </w:pPr>
      <w:r w:rsidRPr="00BB306D">
        <w:rPr>
          <w:rFonts w:asciiTheme="majorHAnsi" w:hAnsiTheme="majorHAnsi" w:cstheme="majorHAnsi"/>
        </w:rPr>
        <w:t>Destroying responses once they’re no longer in use</w:t>
      </w:r>
    </w:p>
    <w:p w14:paraId="696D5850" w14:textId="77777777" w:rsidR="002D100C" w:rsidRPr="00BB306D" w:rsidRDefault="002D100C" w:rsidP="002D100C">
      <w:pPr>
        <w:pStyle w:val="ListParagraph"/>
        <w:spacing w:before="120" w:after="120"/>
        <w:ind w:left="714" w:right="-278"/>
        <w:contextualSpacing w:val="0"/>
        <w:rPr>
          <w:rFonts w:asciiTheme="majorHAnsi" w:hAnsiTheme="majorHAnsi" w:cstheme="majorHAnsi"/>
        </w:rPr>
      </w:pPr>
      <w:r w:rsidRPr="00BB306D">
        <w:rPr>
          <w:rFonts w:asciiTheme="majorHAnsi" w:hAnsiTheme="majorHAnsi" w:cstheme="majorHAnsi"/>
        </w:rPr>
        <w:t>Survey responses should not hang around forever.</w:t>
      </w:r>
    </w:p>
    <w:p w14:paraId="22E1DD71" w14:textId="77777777" w:rsidR="002D100C" w:rsidRPr="00BB306D" w:rsidRDefault="002D100C" w:rsidP="002D100C">
      <w:pPr>
        <w:pStyle w:val="ListParagraph"/>
        <w:numPr>
          <w:ilvl w:val="0"/>
          <w:numId w:val="3"/>
        </w:numPr>
        <w:spacing w:before="60" w:after="60"/>
        <w:ind w:left="1429" w:right="-278" w:hanging="357"/>
        <w:contextualSpacing w:val="0"/>
        <w:rPr>
          <w:rFonts w:asciiTheme="majorHAnsi" w:hAnsiTheme="majorHAnsi" w:cstheme="majorHAnsi"/>
        </w:rPr>
      </w:pPr>
      <w:r w:rsidRPr="00BB306D">
        <w:rPr>
          <w:rFonts w:asciiTheme="majorHAnsi" w:hAnsiTheme="majorHAnsi" w:cstheme="majorHAnsi"/>
        </w:rPr>
        <w:t xml:space="preserve">Transfer data from paper surveys to an online system shortly after the surveys are collected. Once you’ve verified that the upload was successful, destroy paper copies. Maintain a record showing the dates of data collection, upload to the system, and hard copy shredding/destruction. </w:t>
      </w:r>
    </w:p>
    <w:p w14:paraId="4DF8EC80" w14:textId="77777777" w:rsidR="002D100C" w:rsidRPr="00BB306D" w:rsidRDefault="002D100C" w:rsidP="002D100C">
      <w:pPr>
        <w:pStyle w:val="ListParagraph"/>
        <w:numPr>
          <w:ilvl w:val="0"/>
          <w:numId w:val="3"/>
        </w:numPr>
        <w:spacing w:before="60" w:after="60"/>
        <w:ind w:left="1429" w:right="-278" w:hanging="357"/>
        <w:contextualSpacing w:val="0"/>
        <w:rPr>
          <w:rFonts w:asciiTheme="majorHAnsi" w:hAnsiTheme="majorHAnsi" w:cstheme="majorHAnsi"/>
        </w:rPr>
      </w:pPr>
      <w:r w:rsidRPr="00BB306D">
        <w:rPr>
          <w:rFonts w:asciiTheme="majorHAnsi" w:hAnsiTheme="majorHAnsi" w:cstheme="majorHAnsi"/>
        </w:rPr>
        <w:t>Likewise, electronic data should be deleted after your analysis is complete. Maintain a record showing the dates of download and deletion.</w:t>
      </w:r>
    </w:p>
    <w:p w14:paraId="0C595260" w14:textId="77777777" w:rsidR="006E3793" w:rsidRDefault="006E3793"/>
    <w:sectPr w:rsidR="006E3793" w:rsidSect="002D100C">
      <w:pgSz w:w="12240" w:h="15840"/>
      <w:pgMar w:top="1170" w:right="1620" w:bottom="733" w:left="1170" w:header="708" w:footer="23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Medium">
    <w:panose1 w:val="020B06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D75C2"/>
    <w:multiLevelType w:val="hybridMultilevel"/>
    <w:tmpl w:val="CB74DA72"/>
    <w:lvl w:ilvl="0" w:tplc="C838BB18">
      <w:start w:val="1"/>
      <w:numFmt w:val="decimal"/>
      <w:lvlText w:val="%1."/>
      <w:lvlJc w:val="left"/>
      <w:pPr>
        <w:ind w:left="720" w:hanging="360"/>
      </w:pPr>
      <w:rPr>
        <w:rFonts w:ascii="Franklin Gothic Medium" w:eastAsiaTheme="minorHAnsi" w:hAnsi="Franklin Gothic Medium" w:cstheme="minorBidi"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26EE3"/>
    <w:multiLevelType w:val="hybridMultilevel"/>
    <w:tmpl w:val="6E48554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 w15:restartNumberingAfterBreak="0">
    <w:nsid w:val="7E2E6D5F"/>
    <w:multiLevelType w:val="hybridMultilevel"/>
    <w:tmpl w:val="425C430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08435668">
    <w:abstractNumId w:val="0"/>
  </w:num>
  <w:num w:numId="2" w16cid:durableId="2097357324">
    <w:abstractNumId w:val="2"/>
  </w:num>
  <w:num w:numId="3" w16cid:durableId="2061703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00C"/>
    <w:rsid w:val="002D100C"/>
    <w:rsid w:val="006D3D7A"/>
    <w:rsid w:val="006E3793"/>
    <w:rsid w:val="00837119"/>
    <w:rsid w:val="00B448A7"/>
    <w:rsid w:val="00BD7924"/>
    <w:rsid w:val="00C62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FA584"/>
  <w15:chartTrackingRefBased/>
  <w15:docId w15:val="{E4D61070-3CBA-4F1A-BF9C-9C6F9D84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00C"/>
    <w:pPr>
      <w:spacing w:after="0" w:line="240" w:lineRule="auto"/>
    </w:pPr>
    <w:rPr>
      <w:rFonts w:ascii="Franklin Gothic Book" w:hAnsi="Franklin Gothic Book"/>
      <w:szCs w:val="24"/>
      <w:lang w:val="en-CA"/>
    </w:rPr>
  </w:style>
  <w:style w:type="paragraph" w:styleId="Heading1">
    <w:name w:val="heading 1"/>
    <w:basedOn w:val="Normal"/>
    <w:next w:val="Normal"/>
    <w:link w:val="Heading1Char"/>
    <w:uiPriority w:val="9"/>
    <w:qFormat/>
    <w:rsid w:val="002D10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10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0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0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0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0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0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0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0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0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10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0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0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0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00C"/>
    <w:rPr>
      <w:rFonts w:eastAsiaTheme="majorEastAsia" w:cstheme="majorBidi"/>
      <w:color w:val="272727" w:themeColor="text1" w:themeTint="D8"/>
    </w:rPr>
  </w:style>
  <w:style w:type="paragraph" w:styleId="Title">
    <w:name w:val="Title"/>
    <w:basedOn w:val="Normal"/>
    <w:next w:val="Normal"/>
    <w:link w:val="TitleChar"/>
    <w:uiPriority w:val="10"/>
    <w:qFormat/>
    <w:rsid w:val="002D10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00C"/>
    <w:pPr>
      <w:spacing w:before="160"/>
      <w:jc w:val="center"/>
    </w:pPr>
    <w:rPr>
      <w:i/>
      <w:iCs/>
      <w:color w:val="404040" w:themeColor="text1" w:themeTint="BF"/>
    </w:rPr>
  </w:style>
  <w:style w:type="character" w:customStyle="1" w:styleId="QuoteChar">
    <w:name w:val="Quote Char"/>
    <w:basedOn w:val="DefaultParagraphFont"/>
    <w:link w:val="Quote"/>
    <w:uiPriority w:val="29"/>
    <w:rsid w:val="002D100C"/>
    <w:rPr>
      <w:i/>
      <w:iCs/>
      <w:color w:val="404040" w:themeColor="text1" w:themeTint="BF"/>
    </w:rPr>
  </w:style>
  <w:style w:type="paragraph" w:styleId="ListParagraph">
    <w:name w:val="List Paragraph"/>
    <w:basedOn w:val="Normal"/>
    <w:uiPriority w:val="34"/>
    <w:qFormat/>
    <w:rsid w:val="002D100C"/>
    <w:pPr>
      <w:ind w:left="720"/>
      <w:contextualSpacing/>
    </w:pPr>
  </w:style>
  <w:style w:type="character" w:styleId="IntenseEmphasis">
    <w:name w:val="Intense Emphasis"/>
    <w:basedOn w:val="DefaultParagraphFont"/>
    <w:uiPriority w:val="21"/>
    <w:qFormat/>
    <w:rsid w:val="002D100C"/>
    <w:rPr>
      <w:i/>
      <w:iCs/>
      <w:color w:val="0F4761" w:themeColor="accent1" w:themeShade="BF"/>
    </w:rPr>
  </w:style>
  <w:style w:type="paragraph" w:styleId="IntenseQuote">
    <w:name w:val="Intense Quote"/>
    <w:basedOn w:val="Normal"/>
    <w:next w:val="Normal"/>
    <w:link w:val="IntenseQuoteChar"/>
    <w:uiPriority w:val="30"/>
    <w:qFormat/>
    <w:rsid w:val="002D1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00C"/>
    <w:rPr>
      <w:i/>
      <w:iCs/>
      <w:color w:val="0F4761" w:themeColor="accent1" w:themeShade="BF"/>
    </w:rPr>
  </w:style>
  <w:style w:type="character" w:styleId="IntenseReference">
    <w:name w:val="Intense Reference"/>
    <w:basedOn w:val="DefaultParagraphFont"/>
    <w:uiPriority w:val="32"/>
    <w:qFormat/>
    <w:rsid w:val="002D10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B8DACE1E9DD419FCE00D584FA6C37" ma:contentTypeVersion="18" ma:contentTypeDescription="Create a new document." ma:contentTypeScope="" ma:versionID="62e333e812f715178e8f8a7428c74f05">
  <xsd:schema xmlns:xsd="http://www.w3.org/2001/XMLSchema" xmlns:xs="http://www.w3.org/2001/XMLSchema" xmlns:p="http://schemas.microsoft.com/office/2006/metadata/properties" xmlns:ns1="http://schemas.microsoft.com/sharepoint/v3" xmlns:ns2="cca1fe8d-7008-4cf4-b9bb-be0bef693b5b" xmlns:ns3="9e9a0c9f-933a-4edd-ad93-7775c6c3041b" targetNamespace="http://schemas.microsoft.com/office/2006/metadata/properties" ma:root="true" ma:fieldsID="769982ea7291cf0fcc8e09e371a3d467" ns1:_="" ns2:_="" ns3:_="">
    <xsd:import namespace="http://schemas.microsoft.com/sharepoint/v3"/>
    <xsd:import namespace="cca1fe8d-7008-4cf4-b9bb-be0bef693b5b"/>
    <xsd:import namespace="9e9a0c9f-933a-4edd-ad93-7775c6c3041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ServiceAutoKeyPoints" minOccurs="0"/>
                <xsd:element ref="ns2:MediaServiceKeyPoints"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1fe8d-7008-4cf4-b9bb-be0bef693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7d27d3-46b3-40b9-afe7-3a549b099f68" ma:termSetId="09814cd3-568e-fe90-9814-8d621ff8fb84" ma:anchorId="fba54fb3-c3e1-fe81-a776-ca4b69148c4d" ma:open="true" ma:isKeyword="false">
      <xsd:complexType>
        <xsd:sequence>
          <xsd:element ref="pc:Terms" minOccurs="0" maxOccurs="1"/>
        </xsd:sequence>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9a0c9f-933a-4edd-ad93-7775c6c3041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7c0c0f2-267e-4f79-bd34-40603ae8e4c1}" ma:internalName="TaxCatchAll" ma:showField="CatchAllData" ma:web="9e9a0c9f-933a-4edd-ad93-7775c6c30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78B98-E436-46EE-8851-9B914219482D}"/>
</file>

<file path=customXml/itemProps2.xml><?xml version="1.0" encoding="utf-8"?>
<ds:datastoreItem xmlns:ds="http://schemas.openxmlformats.org/officeDocument/2006/customXml" ds:itemID="{CB7589DB-62C8-4BED-953E-06B0FCC36332}"/>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2329</Characters>
  <Application>Microsoft Office Word</Application>
  <DocSecurity>0</DocSecurity>
  <Lines>40</Lines>
  <Paragraphs>22</Paragraphs>
  <ScaleCrop>false</ScaleCrop>
  <Company>Ontario Trillium Foundation</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Privacy &amp; Confidentiality: A tip sheet</dc:title>
  <dc:subject/>
  <dc:creator>Stacey McDonald</dc:creator>
  <cp:keywords/>
  <dc:description/>
  <cp:lastModifiedBy>Chris Shepherd</cp:lastModifiedBy>
  <cp:revision>3</cp:revision>
  <dcterms:created xsi:type="dcterms:W3CDTF">2024-09-16T19:27:00Z</dcterms:created>
  <dcterms:modified xsi:type="dcterms:W3CDTF">2024-09-16T20:59:00Z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9ba8b7cc-0cf8-4fb6-a090-4b232ee363e1</vt:lpwstr>
  </property>
</Properties>
</file>